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left="796"/>
        <w:jc w:val="center"/>
        <w:rPr>
          <w:rStyle w:val="6"/>
          <w:rFonts w:ascii="仿宋" w:hAnsi="仿宋" w:eastAsia="仿宋" w:cs="仿宋"/>
          <w:color w:val="333333"/>
          <w:sz w:val="31"/>
          <w:szCs w:val="31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新乡医学院三全学院2018年度</w:t>
      </w:r>
    </w:p>
    <w:p>
      <w:pPr>
        <w:pStyle w:val="4"/>
        <w:widowControl/>
        <w:spacing w:before="0" w:beforeAutospacing="0" w:after="0" w:afterAutospacing="0"/>
        <w:ind w:left="796"/>
        <w:jc w:val="center"/>
        <w:rPr>
          <w:rStyle w:val="6"/>
          <w:rFonts w:ascii="仿宋" w:hAnsi="仿宋" w:eastAsia="仿宋" w:cs="仿宋"/>
          <w:color w:val="333333"/>
          <w:sz w:val="31"/>
          <w:szCs w:val="31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落实党风廉政建设责任制考核细则</w:t>
      </w:r>
    </w:p>
    <w:p>
      <w:pPr>
        <w:pStyle w:val="9"/>
        <w:spacing w:line="360" w:lineRule="auto"/>
        <w:ind w:firstLine="560" w:firstLineChars="200"/>
        <w:rPr>
          <w:rStyle w:val="6"/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>根据目标责任书中的工作要求，结合《三全学院党风廉政目标责任书》具体内容，制定如下标准。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 各单位在全年党风廉政建设过程当中，出现下列情况该考核不得分：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1、对党风廉政建设工作领导不力，以致职责范围内明令禁止的不正之风得不到有效治理，造成不良影响的；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2、疏于监督管理，致使直接管辖的下属发生严重违纪违法问题；放任、包庇下属人员违反财经、税务、审计等法律法规的；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3、对上级领导机关交办的党风廉政建设责任范围内的事项不传达贯彻、不安排部署、不督促落实，或者拒不办理的；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4、对本单位发现的严重违纪违法行为隐瞒不报、压案不查的；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5、工作中弄虚作假，利用公款大吃大喝、请客送礼、挥霍浪费，违法中央八项规定精神的；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6、工作中接受有关单位和个人的现金、有价证券、支付凭证或其他实物等违法《中国共产党廉洁自律准则》的；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7、有其他违反党风廉政建设责任制行为的。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二、各单位在全年党风廉政建设过程当中，除出现以上7项考核标准不得分外，将根据本单位全年党风廉政建设情况，对照以下考核细则进行计分，计分结果运用在各单位目标考核的共性工作中。</w:t>
      </w:r>
    </w:p>
    <w:p>
      <w:pPr>
        <w:ind w:firstLine="4200" w:firstLineChars="1500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三全学院党风廉政建设责任制考核细则</w:t>
      </w:r>
    </w:p>
    <w:tbl>
      <w:tblPr>
        <w:tblStyle w:val="7"/>
        <w:tblW w:w="14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560"/>
        <w:gridCol w:w="711"/>
        <w:gridCol w:w="4265"/>
        <w:gridCol w:w="3512"/>
        <w:gridCol w:w="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考核目标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标准得分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考核细则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扣分标准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考核</w:t>
            </w:r>
          </w:p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第一项          组织领导      （0.2分）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1.各单位负责人要高度重视党风廉政建设，部署全年党风廉政建设工作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1.全年部署党风廉政建设工作不少于两次；2.每学期至少听取一次本单位党风廉政建设工作汇报；3.要及时总结本单位党风廉政建设工作并按时提交。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安排部署每少一次扣0.02分；未组织听取每次扣0.02分；未及时提交总结扣0.02分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2.明确领导班子、班子成员在党风廉政建设中的职责和任务，本单位党风廉政建设重要情况、重要问题及时向学院报告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1.熟悉党风廉政目标责任书内容；2.建立谈话机制，定期与本单位人员进行谈话，并有记录；3.将发现的问题及时上报。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对廉政目标责任书内容不知悉的扣0.02分；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未建立谈话机制、未定期与单位人员谈话的扣0.02分； 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未上报的扣0.02分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第二项          宣传教育     （0.2分）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1.及时传达上级党风廉政建设有关会议和文件精神，积极参加学院廉政教育活动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1.及时组织本单位人员参加学习，出勤率不低于2/3；2.需要上报学习材料的，上报数量不低于2/3。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参加活动出勤率和上报材料数量不符合标准的，每次扣0.02分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积极组织开展政治纪律教育、职业道德教育和廉政文化建设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1.每学期至少组织一次十九大精神报告的学习；2.各单位负责人每年要向本单位党员上一次廉政党课；3.积极参加学院组织的各项征文活动，每次参加人数不少于三人。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未按时组织学习且不上党课、参加活动人数不符合规定的每次扣0.02分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考核目标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标准得分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考核细则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扣分标准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考核</w:t>
            </w:r>
          </w:p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第三项          风险防控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制度保障            （0.2分）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1.贯彻落实学校惩治和预防腐败体系建设工作规划，做好岗位廉政风险防控工作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1.组织开展对本单位廉政风险点的排查，加大对重点部位和关键环节的监督力度；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2.完善重点部位和关键环节管理制度，科学设置工作流程。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本年度部门重点部位关键环节出现问题扣除0.1分；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未出现问题但不完善管理制度和工作流程的每次扣0.05分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2.执行党务政务公开制度，规范决策程序，保证权力公开透明运行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1.制定本单位重大问题的决策流程；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2.重大问题的决策是否按流程执行。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查阅相关记录，未按照规定进行每次扣0.02分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第四项          作风建设       (0.1分)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贯彻落实中央八项规定精神和学院作风建设有关规定，加强师德师风、教风学风等建设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1.严格遵守中央八项规定，未出现四风问题；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2.对本单位教职员工出现的苗头性、倾向性问题，及时提醒。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未严格遵守八项规定、出现问题不及时解决该项内容扣0.1分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第五项         支持纪检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监察工作   （0.1分）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对本部门业务范围内的党风廉政建设进行监督检查，及时调查处理违规违纪问题；本单位党风廉政建设重要情况、重要问题及时向学院党委、纪检监察部门报告，并协助进行调查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1.每学期监督检查至少一次；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2.出现问题及时进行调查处理。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部门人员出现违规违纪事项扣除0.1分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考核目标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标准得分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color w:val="000000"/>
                <w:kern w:val="0"/>
                <w:sz w:val="24"/>
              </w:rPr>
              <w:t>考核细则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扣分标准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考核</w:t>
            </w:r>
          </w:p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第六项           配合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信访工作  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（0.1分）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配合学校纪检监察部门查办本单位信访案件，及时整改并报告进展情况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1.在规定时间内完成信访事件的整改；2.在每个学期内不得出现两次以上对同类事项的信访举报。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部门出现信访事项未及时进行整改和处理扣0.1分；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连续被信访举报的每项扣0.02；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第七项           特色工作      （0.1分）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本单位在党风廉政建设方面的创新（特色）工作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查阅有关记录，有特色和创新工作的，酌情给分。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依据单位本年度党风廉政工作创新情况，每项加0.05分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1分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新乡医学院三全学院纪检监察审计部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6838" w:h="11906" w:orient="landscape"/>
      <w:pgMar w:top="1588" w:right="1418" w:bottom="1588" w:left="141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7F26"/>
    <w:rsid w:val="00035F01"/>
    <w:rsid w:val="000969FD"/>
    <w:rsid w:val="000A753D"/>
    <w:rsid w:val="00107721"/>
    <w:rsid w:val="001B247D"/>
    <w:rsid w:val="00226540"/>
    <w:rsid w:val="00236626"/>
    <w:rsid w:val="0026149A"/>
    <w:rsid w:val="002F28DD"/>
    <w:rsid w:val="00356C1B"/>
    <w:rsid w:val="00416612"/>
    <w:rsid w:val="00532755"/>
    <w:rsid w:val="00606D62"/>
    <w:rsid w:val="00633C33"/>
    <w:rsid w:val="006947D3"/>
    <w:rsid w:val="006B7403"/>
    <w:rsid w:val="00756CBE"/>
    <w:rsid w:val="008B7120"/>
    <w:rsid w:val="00925B2E"/>
    <w:rsid w:val="009E3C9B"/>
    <w:rsid w:val="00A4784B"/>
    <w:rsid w:val="00C46588"/>
    <w:rsid w:val="00E4326D"/>
    <w:rsid w:val="00F24736"/>
    <w:rsid w:val="04507F26"/>
    <w:rsid w:val="34272706"/>
    <w:rsid w:val="345409ED"/>
    <w:rsid w:val="38972E32"/>
    <w:rsid w:val="3D0A7D7C"/>
    <w:rsid w:val="428619EA"/>
    <w:rsid w:val="5EDE52A7"/>
    <w:rsid w:val="6D535020"/>
    <w:rsid w:val="7EC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Strong"/>
    <w:qFormat/>
    <w:uiPriority w:val="0"/>
    <w:rPr>
      <w:b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文本 (2)"/>
    <w:basedOn w:val="1"/>
    <w:link w:val="10"/>
    <w:unhideWhenUsed/>
    <w:qFormat/>
    <w:uiPriority w:val="99"/>
    <w:pPr>
      <w:shd w:val="clear" w:color="auto" w:fill="FFFFFF"/>
      <w:spacing w:line="240" w:lineRule="atLeast"/>
    </w:pPr>
    <w:rPr>
      <w:rFonts w:ascii="宋体" w:hAnsi="宋体" w:cs="Times New Roman"/>
      <w:sz w:val="24"/>
    </w:rPr>
  </w:style>
  <w:style w:type="character" w:customStyle="1" w:styleId="10">
    <w:name w:val="正文文本 (2)_"/>
    <w:link w:val="9"/>
    <w:unhideWhenUsed/>
    <w:qFormat/>
    <w:uiPriority w:val="99"/>
    <w:rPr>
      <w:rFonts w:ascii="宋体" w:hAnsi="宋体" w:cs="Times New Roman"/>
      <w:sz w:val="24"/>
    </w:rPr>
  </w:style>
  <w:style w:type="character" w:customStyle="1" w:styleId="11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4</Pages>
  <Words>332</Words>
  <Characters>1897</Characters>
  <Lines>15</Lines>
  <Paragraphs>4</Paragraphs>
  <TotalTime>57</TotalTime>
  <ScaleCrop>false</ScaleCrop>
  <LinksUpToDate>false</LinksUpToDate>
  <CharactersWithSpaces>2225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2018-04-03T07:22:00Z</dcterms:created>
  <dc:creator>赵严</dc:creator>
  <cp:lastModifiedBy>赵严</cp:lastModifiedBy>
  <dcterms:modified xsi:type="dcterms:W3CDTF">2018-05-14T01:23:17Z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